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0" w:before="0"/>
      </w:pPr>
    </w:p>
    <w:p>
      <w:pPr>
        <w:spacing w:after="480" w:before="0"/>
      </w:pPr>
      <w:r>
        <w:rPr>
          <w:b/>
          <w:i w:val="0"/>
          <w:color w:val="DA291C"/>
          <w:sz w:val="24"/>
        </w:rPr>
        <w:t>312 IT Consulting</w:t>
      </w:r>
    </w:p>
    <w:p>
      <w:pPr>
        <w:spacing w:after="120" w:before="0"/>
      </w:pPr>
      <w:r>
        <w:rPr>
          <w:b/>
          <w:i w:val="0"/>
          <w:color w:val="121212"/>
          <w:sz w:val="60"/>
        </w:rPr>
        <w:t>AI Acceptable-Use Policy Template</w:t>
      </w:r>
    </w:p>
    <w:p>
      <w:pPr>
        <w:spacing w:after="720" w:before="0"/>
      </w:pPr>
      <w:r>
        <w:rPr>
          <w:b w:val="0"/>
          <w:i w:val="0"/>
          <w:color w:val="121212"/>
          <w:sz w:val="28"/>
        </w:rPr>
        <w:t>Illinois edition · November 2026</w:t>
      </w:r>
    </w:p>
    <w:p>
      <w:pPr>
        <w:spacing w:after="80" w:before="0"/>
      </w:pPr>
      <w:r>
        <w:rPr>
          <w:b w:val="0"/>
          <w:i/>
          <w:color w:val="6B6B6B"/>
          <w:sz w:val="22"/>
        </w:rPr>
        <w:t>Model language, not legal advice.</w:t>
      </w:r>
    </w:p>
    <w:p>
      <w:pPr>
        <w:spacing w:after="2400" w:before="0"/>
      </w:pPr>
      <w:r>
        <w:rPr>
          <w:b w:val="0"/>
          <w:i w:val="0"/>
          <w:color w:val="6B6B6B"/>
          <w:sz w:val="21"/>
        </w:rPr>
        <w:t>Replace every [bracketed] item. Have your employment counsel review the whole document, and the Illinois addendum in particular, before you adopt it.</w:t>
      </w:r>
    </w:p>
    <w:p>
      <w:pPr>
        <w:spacing w:after="40" w:before="0"/>
      </w:pPr>
      <w:r>
        <w:rPr>
          <w:b w:val="0"/>
          <w:i w:val="0"/>
          <w:color w:val="6B6B6B"/>
          <w:sz w:val="20"/>
        </w:rPr>
        <w:t>Chicago, Illinois</w:t>
      </w:r>
    </w:p>
    <w:p>
      <w:pPr>
        <w:spacing w:after="40" w:before="0"/>
      </w:pPr>
      <w:r>
        <w:rPr>
          <w:b w:val="0"/>
          <w:i w:val="0"/>
          <w:color w:val="6B6B6B"/>
          <w:sz w:val="20"/>
        </w:rPr>
        <w:t>312itconsulting.com · (224) 382-4084 · contactus@312itconsulting.com</w:t>
      </w:r>
    </w:p>
    <w:p>
      <w:pPr>
        <w:spacing w:after="40" w:before="0"/>
      </w:pPr>
      <w:r>
        <w:rPr>
          <w:b w:val="0"/>
          <w:i w:val="0"/>
          <w:color w:val="6B6B6B"/>
          <w:sz w:val="20"/>
        </w:rPr>
        <w:t>Web version and updates: 312itconsulting.com/blog/ai-policy-template-small-business</w:t>
      </w:r>
    </w:p>
    <w:p>
      <w:pPr>
        <w:spacing w:after="120" w:before="0"/>
      </w:pPr>
      <w:r>
        <w:rPr>
          <w:b w:val="0"/>
          <w:i w:val="0"/>
          <w:color w:val="6B6B6B"/>
          <w:sz w:val="20"/>
        </w:rPr>
        <w:t>Companion: 312itconsulting.com/resources/illinois-ai-employment-notice-kit</w:t>
      </w:r>
    </w:p>
    <w:p>
      <w:r>
        <w:br w:type="page"/>
      </w:r>
    </w:p>
    <w:p>
      <w:pPr>
        <w:pStyle w:val="Heading1"/>
        <w:spacing w:before="360" w:after="120"/>
      </w:pPr>
      <w:r>
        <w:rPr>
          <w:rFonts w:ascii="Arial" w:hAnsi="Arial"/>
          <w:color w:val="DA291C"/>
        </w:rPr>
        <w:t>How to use this template</w:t>
      </w:r>
    </w:p>
    <w:p>
      <w:pPr>
        <w:spacing w:after="120" w:before="0"/>
      </w:pPr>
      <w:r>
        <w:rPr>
          <w:b w:val="0"/>
          <w:i w:val="0"/>
          <w:sz w:val="21"/>
        </w:rPr>
        <w:t>Sections 1-10 are a general AI acceptable-use policy that works anywhere in the United States. Sections 11-16 are the Illinois addendum: model clauses for the Illinois Human Rights Act AI-in-employment provision (HB 3773), the Biometric Information Privacy Act, recording consent, confidential data, vendor checks and bilingual distribution. The last page is an employee acknowledgment form.</w:t>
      </w:r>
    </w:p>
    <w:p>
      <w:pPr>
        <w:pStyle w:val="ListBullet"/>
        <w:spacing w:after="60"/>
      </w:pPr>
      <w:r>
        <w:rPr>
          <w:sz w:val="21"/>
        </w:rPr>
        <w:t>Fill in every [bracket]. Delete clauses that do not apply, for example the clinical-practice paragraph in Section 13 if you are not a healthcare or behavioral-health provider.</w:t>
      </w:r>
    </w:p>
    <w:p>
      <w:pPr>
        <w:pStyle w:val="ListBullet"/>
        <w:spacing w:after="60"/>
      </w:pPr>
      <w:r>
        <w:rPr>
          <w:sz w:val="21"/>
        </w:rPr>
        <w:t>Keep it short. A policy people read beats a policy that covers everything.</w:t>
      </w:r>
    </w:p>
    <w:p>
      <w:pPr>
        <w:pStyle w:val="ListBullet"/>
        <w:spacing w:after="60"/>
      </w:pPr>
      <w:r>
        <w:rPr>
          <w:sz w:val="21"/>
        </w:rPr>
        <w:t>Pair it with the separate Illinois AI employment notice (handbook, job postings, website, premises) if any tool influences a hiring or other employment decision.</w:t>
      </w:r>
    </w:p>
    <w:p>
      <w:pPr>
        <w:pStyle w:val="ListBullet"/>
        <w:spacing w:after="60"/>
      </w:pPr>
      <w:r>
        <w:rPr>
          <w:sz w:val="21"/>
        </w:rPr>
        <w:t>Date it, version it, and keep every version and every signed acknowledgment for at least four years.</w:t>
      </w:r>
    </w:p>
    <w:p>
      <w:pPr>
        <w:spacing w:after="120" w:before="0"/>
      </w:pPr>
      <w:r>
        <w:rPr>
          <w:b w:val="0"/>
          <w:i w:val="0"/>
          <w:sz w:val="21"/>
        </w:rPr>
        <w:t>Sources for the Illinois summaries, with links, are listed on the web version of this template and in the notice kit. Status of the Illinois Department of Human Rights rules checked November 4, 2026: proposed May 15, 2026, withdrawn June 2026, no replacement adopted.</w:t>
      </w:r>
    </w:p>
    <w:p>
      <w:pPr>
        <w:pStyle w:val="Heading1"/>
        <w:spacing w:before="360" w:after="120"/>
      </w:pPr>
      <w:r>
        <w:rPr>
          <w:rFonts w:ascii="Arial" w:hAnsi="Arial"/>
          <w:color w:val="DA291C"/>
        </w:rPr>
        <w:t>AI Acceptable-Use Policy for [Company]</w:t>
      </w:r>
    </w:p>
    <w:tbl>
      <w:tblPr>
        <w:tblW w:type="auto" w:w="0"/>
        <w:jc w:val="left"/>
        <w:tblLook w:firstColumn="1" w:firstRow="1" w:lastColumn="0" w:lastRow="0" w:noHBand="0" w:noVBand="1" w:val="04A0"/>
      </w:tblPr>
      <w:tblGrid>
        <w:gridCol w:w="4680"/>
        <w:gridCol w:w="4680"/>
      </w:tblGrid>
      <w:tr>
        <w:tc>
          <w:tcPr>
            <w:tcW w:type="dxa" w:w="4680"/>
            <w:tcBorders>
              <w:bottom w:val="single" w:sz="4" w:color="BBBBBB"/>
            </w:tcBorders>
          </w:tcPr>
          <w:p>
            <w:r/>
            <w:r>
              <w:rPr>
                <w:b/>
                <w:sz w:val="20"/>
              </w:rPr>
              <w:t>Policy owner</w:t>
            </w:r>
          </w:p>
        </w:tc>
        <w:tc>
          <w:tcPr>
            <w:tcW w:type="dxa" w:w="4680"/>
            <w:tcBorders>
              <w:bottom w:val="single" w:sz="4" w:color="BBBBBB"/>
            </w:tcBorders>
          </w:tcPr>
          <w:p>
            <w:r/>
            <w:r>
              <w:rPr>
                <w:sz w:val="20"/>
              </w:rPr>
              <w:t>[Name, title]</w:t>
            </w:r>
          </w:p>
        </w:tc>
      </w:tr>
      <w:tr>
        <w:tc>
          <w:tcPr>
            <w:tcW w:type="dxa" w:w="4680"/>
            <w:tcBorders>
              <w:bottom w:val="single" w:sz="4" w:color="BBBBBB"/>
            </w:tcBorders>
          </w:tcPr>
          <w:p>
            <w:r/>
            <w:r>
              <w:rPr>
                <w:b/>
                <w:sz w:val="20"/>
              </w:rPr>
              <w:t>Effective date</w:t>
            </w:r>
          </w:p>
        </w:tc>
        <w:tc>
          <w:tcPr>
            <w:tcW w:type="dxa" w:w="4680"/>
            <w:tcBorders>
              <w:bottom w:val="single" w:sz="4" w:color="BBBBBB"/>
            </w:tcBorders>
          </w:tcPr>
          <w:p>
            <w:r/>
            <w:r>
              <w:rPr>
                <w:sz w:val="20"/>
              </w:rPr>
              <w:t>[Date]</w:t>
            </w:r>
          </w:p>
        </w:tc>
      </w:tr>
      <w:tr>
        <w:tc>
          <w:tcPr>
            <w:tcW w:type="dxa" w:w="4680"/>
            <w:tcBorders>
              <w:bottom w:val="single" w:sz="4" w:color="BBBBBB"/>
            </w:tcBorders>
          </w:tcPr>
          <w:p>
            <w:r/>
            <w:r>
              <w:rPr>
                <w:b/>
                <w:sz w:val="20"/>
              </w:rPr>
              <w:t>Version</w:t>
            </w:r>
          </w:p>
        </w:tc>
        <w:tc>
          <w:tcPr>
            <w:tcW w:type="dxa" w:w="4680"/>
            <w:tcBorders>
              <w:bottom w:val="single" w:sz="4" w:color="BBBBBB"/>
            </w:tcBorders>
          </w:tcPr>
          <w:p>
            <w:r/>
            <w:r>
              <w:rPr>
                <w:sz w:val="20"/>
              </w:rPr>
              <w:t>[1.0]</w:t>
            </w:r>
          </w:p>
        </w:tc>
      </w:tr>
      <w:tr>
        <w:tc>
          <w:tcPr>
            <w:tcW w:type="dxa" w:w="4680"/>
            <w:tcBorders>
              <w:bottom w:val="single" w:sz="4" w:color="BBBBBB"/>
            </w:tcBorders>
          </w:tcPr>
          <w:p>
            <w:r/>
            <w:r>
              <w:rPr>
                <w:b/>
                <w:sz w:val="20"/>
              </w:rPr>
              <w:t>Next review</w:t>
            </w:r>
          </w:p>
        </w:tc>
        <w:tc>
          <w:tcPr>
            <w:tcW w:type="dxa" w:w="4680"/>
            <w:tcBorders>
              <w:bottom w:val="single" w:sz="4" w:color="BBBBBB"/>
            </w:tcBorders>
          </w:tcPr>
          <w:p>
            <w:r/>
            <w:r>
              <w:rPr>
                <w:sz w:val="20"/>
              </w:rPr>
              <w:t>[Date, within 12 months]</w:t>
            </w:r>
          </w:p>
        </w:tc>
      </w:tr>
    </w:tbl>
    <w:p>
      <w:pPr>
        <w:spacing w:after="80" w:before="0"/>
      </w:pPr>
    </w:p>
    <w:p>
      <w:pPr>
        <w:pStyle w:val="Heading2"/>
        <w:spacing w:before="240" w:after="120"/>
      </w:pPr>
      <w:r>
        <w:rPr>
          <w:rFonts w:ascii="Arial" w:hAnsi="Arial"/>
          <w:color w:val="121212"/>
        </w:rPr>
        <w:t>Purpose</w:t>
      </w:r>
    </w:p>
    <w:p>
      <w:pPr>
        <w:spacing w:after="120" w:before="0"/>
      </w:pPr>
      <w:r>
        <w:rPr>
          <w:b w:val="0"/>
          <w:i w:val="0"/>
          <w:sz w:val="21"/>
        </w:rPr>
        <w:t>This policy guides the appropriate use of artificial intelligence (AI) and AI-powered tools at [Company]. The policy aims to foster innovation and efficiency while protecting company data, ensuring accuracy, and managing legal and operational risks.</w:t>
      </w:r>
    </w:p>
    <w:p>
      <w:pPr>
        <w:pStyle w:val="Heading2"/>
        <w:spacing w:before="240" w:after="120"/>
      </w:pPr>
      <w:r>
        <w:rPr>
          <w:rFonts w:ascii="Arial" w:hAnsi="Arial"/>
          <w:color w:val="121212"/>
        </w:rPr>
        <w:t>Scope</w:t>
      </w:r>
    </w:p>
    <w:p>
      <w:pPr>
        <w:spacing w:after="120" w:before="0"/>
      </w:pPr>
      <w:r>
        <w:rPr>
          <w:b w:val="0"/>
          <w:i w:val="0"/>
          <w:sz w:val="21"/>
        </w:rPr>
        <w:t>This policy applies to all employees, contractors, and consultants of [Company]. It covers any use of AI tools, whether company-provided or personal, during work hours or for work purposes.</w:t>
      </w:r>
    </w:p>
    <w:p>
      <w:pPr>
        <w:pStyle w:val="Heading2"/>
        <w:spacing w:before="240" w:after="120"/>
      </w:pPr>
      <w:r>
        <w:rPr>
          <w:rFonts w:ascii="Arial" w:hAnsi="Arial"/>
          <w:color w:val="121212"/>
        </w:rPr>
        <w:t>1. Approved AI tools and platforms</w:t>
      </w:r>
    </w:p>
    <w:p>
      <w:pPr>
        <w:spacing w:after="120" w:before="0"/>
      </w:pPr>
      <w:r>
        <w:rPr>
          <w:b w:val="0"/>
          <w:i w:val="0"/>
          <w:sz w:val="21"/>
        </w:rPr>
        <w:t>[Company] approves the following AI tools for business use:</w:t>
      </w:r>
    </w:p>
    <w:p>
      <w:pPr>
        <w:pStyle w:val="ListBullet"/>
        <w:spacing w:after="60"/>
      </w:pPr>
      <w:r>
        <w:rPr>
          <w:sz w:val="21"/>
        </w:rPr>
        <w:t>[List company-approved tools, e.g. ChatGPT (business plan), Microsoft 365 Copilot, Claude, Google Gemini]</w:t>
      </w:r>
    </w:p>
    <w:p>
      <w:pPr>
        <w:pStyle w:val="ListBullet"/>
        <w:spacing w:after="60"/>
      </w:pPr>
      <w:r>
        <w:rPr>
          <w:sz w:val="21"/>
        </w:rPr>
        <w:t>Other tools may be used only if they comply with every section of this policy and have been checked under Section 15</w:t>
      </w:r>
    </w:p>
    <w:p>
      <w:pPr>
        <w:pStyle w:val="ListBullet"/>
        <w:spacing w:after="60"/>
      </w:pPr>
      <w:r>
        <w:rPr>
          <w:sz w:val="21"/>
        </w:rPr>
        <w:t>Before adopting a new AI tool or turning on an AI feature in an existing tool, consult [IT manager / compliance / security contact]</w:t>
      </w:r>
    </w:p>
    <w:p>
      <w:pPr>
        <w:pStyle w:val="Heading2"/>
        <w:spacing w:before="240" w:after="120"/>
      </w:pPr>
      <w:r>
        <w:rPr>
          <w:rFonts w:ascii="Arial" w:hAnsi="Arial"/>
          <w:color w:val="121212"/>
        </w:rPr>
        <w:t>2. Data classification and handling rules</w:t>
      </w:r>
    </w:p>
    <w:p>
      <w:pPr>
        <w:spacing w:after="120" w:before="0"/>
      </w:pPr>
      <w:r>
        <w:rPr>
          <w:b w:val="0"/>
          <w:i w:val="0"/>
          <w:sz w:val="21"/>
        </w:rPr>
        <w:t>All company data is classified into one of four categories:</w:t>
      </w:r>
    </w:p>
    <w:p>
      <w:pPr>
        <w:pStyle w:val="ListBullet"/>
        <w:spacing w:after="60"/>
      </w:pPr>
      <w:r>
        <w:rPr>
          <w:sz w:val="21"/>
        </w:rPr>
        <w:t>Public: information that has been publicly released or is not sensitive (marketing materials, published research, general company information)</w:t>
      </w:r>
    </w:p>
    <w:p>
      <w:pPr>
        <w:pStyle w:val="ListBullet"/>
        <w:spacing w:after="60"/>
      </w:pPr>
      <w:r>
        <w:rPr>
          <w:sz w:val="21"/>
        </w:rPr>
        <w:t>Internal: non-sensitive business information not intended for public release (internal processes, organizational structures, general business plans)</w:t>
      </w:r>
    </w:p>
    <w:p>
      <w:pPr>
        <w:pStyle w:val="ListBullet"/>
        <w:spacing w:after="60"/>
      </w:pPr>
      <w:r>
        <w:rPr>
          <w:sz w:val="21"/>
        </w:rPr>
        <w:t>Confidential: sensitive business information that could harm the company if disclosed (customer lists, financial data, pricing, unreleased products, trade secrets)</w:t>
      </w:r>
    </w:p>
    <w:p>
      <w:pPr>
        <w:pStyle w:val="ListBullet"/>
        <w:spacing w:after="60"/>
      </w:pPr>
      <w:r>
        <w:rPr>
          <w:sz w:val="21"/>
        </w:rPr>
        <w:t>Restricted: the most sensitive data requiring protection by law or contract (customer personal information, payment data, health records, Social Security numbers)</w:t>
      </w:r>
    </w:p>
    <w:p>
      <w:pPr>
        <w:spacing w:after="120" w:before="0"/>
      </w:pPr>
      <w:r>
        <w:rPr>
          <w:b w:val="0"/>
          <w:i w:val="0"/>
          <w:sz w:val="21"/>
        </w:rPr>
        <w:t>Allowable uses by data classification:</w:t>
      </w:r>
    </w:p>
    <w:p>
      <w:pPr>
        <w:pStyle w:val="ListBullet"/>
        <w:spacing w:after="60"/>
      </w:pPr>
      <w:r>
        <w:rPr>
          <w:sz w:val="21"/>
        </w:rPr>
        <w:t>Public data: may be shared with external AI tools</w:t>
      </w:r>
    </w:p>
    <w:p>
      <w:pPr>
        <w:pStyle w:val="ListBullet"/>
        <w:spacing w:after="60"/>
      </w:pPr>
      <w:r>
        <w:rPr>
          <w:sz w:val="21"/>
        </w:rPr>
        <w:t>Internal data: use company-approved AI tools only, under a business plan that keeps our data out of model training</w:t>
      </w:r>
    </w:p>
    <w:p>
      <w:pPr>
        <w:pStyle w:val="ListBullet"/>
        <w:spacing w:after="60"/>
      </w:pPr>
      <w:r>
        <w:rPr>
          <w:sz w:val="21"/>
        </w:rPr>
        <w:t>Confidential data: do not share with external AI tools; use only approved internal tools, if any</w:t>
      </w:r>
    </w:p>
    <w:p>
      <w:pPr>
        <w:pStyle w:val="ListBullet"/>
        <w:spacing w:after="60"/>
      </w:pPr>
      <w:r>
        <w:rPr>
          <w:sz w:val="21"/>
        </w:rPr>
        <w:t>Restricted data: strictly prohibited from any external AI tool. Do not paste, upload, dictate or mention specific restricted data to AI tools. See also Section 14</w:t>
      </w:r>
    </w:p>
    <w:p>
      <w:pPr>
        <w:pStyle w:val="Heading2"/>
        <w:spacing w:before="240" w:after="120"/>
      </w:pPr>
      <w:r>
        <w:rPr>
          <w:rFonts w:ascii="Arial" w:hAnsi="Arial"/>
          <w:color w:val="121212"/>
        </w:rPr>
        <w:t>3. Approved use cases</w:t>
      </w:r>
    </w:p>
    <w:p>
      <w:pPr>
        <w:spacing w:after="120" w:before="0"/>
      </w:pPr>
      <w:r>
        <w:rPr>
          <w:b w:val="0"/>
          <w:i w:val="0"/>
          <w:sz w:val="21"/>
        </w:rPr>
        <w:t>AI tools are approved for these categories of work:</w:t>
      </w:r>
    </w:p>
    <w:p>
      <w:pPr>
        <w:pStyle w:val="ListBullet"/>
        <w:spacing w:after="60"/>
      </w:pPr>
      <w:r>
        <w:rPr>
          <w:sz w:val="21"/>
        </w:rPr>
        <w:t>Brainstorming and ideation (with no confidential information)</w:t>
      </w:r>
    </w:p>
    <w:p>
      <w:pPr>
        <w:pStyle w:val="ListBullet"/>
        <w:spacing w:after="60"/>
      </w:pPr>
      <w:r>
        <w:rPr>
          <w:sz w:val="21"/>
        </w:rPr>
        <w:t>Writing assistance and editing (with human review)</w:t>
      </w:r>
    </w:p>
    <w:p>
      <w:pPr>
        <w:pStyle w:val="ListBullet"/>
        <w:spacing w:after="60"/>
      </w:pPr>
      <w:r>
        <w:rPr>
          <w:sz w:val="21"/>
        </w:rPr>
        <w:t>Content summarization of public information</w:t>
      </w:r>
    </w:p>
    <w:p>
      <w:pPr>
        <w:pStyle w:val="ListBullet"/>
        <w:spacing w:after="60"/>
      </w:pPr>
      <w:r>
        <w:rPr>
          <w:sz w:val="21"/>
        </w:rPr>
        <w:t>Code generation (with security and functionality review)</w:t>
      </w:r>
    </w:p>
    <w:p>
      <w:pPr>
        <w:pStyle w:val="ListBullet"/>
        <w:spacing w:after="60"/>
      </w:pPr>
      <w:r>
        <w:rPr>
          <w:sz w:val="21"/>
        </w:rPr>
        <w:t>Data analysis and visualization (using non-confidential data)</w:t>
      </w:r>
    </w:p>
    <w:p>
      <w:pPr>
        <w:pStyle w:val="ListBullet"/>
        <w:spacing w:after="60"/>
      </w:pPr>
      <w:r>
        <w:rPr>
          <w:sz w:val="21"/>
        </w:rPr>
        <w:t>Customer support and FAQ assistance (using company-approved information)</w:t>
      </w:r>
    </w:p>
    <w:p>
      <w:pPr>
        <w:pStyle w:val="ListBullet"/>
        <w:spacing w:after="60"/>
      </w:pPr>
      <w:r>
        <w:rPr>
          <w:sz w:val="21"/>
        </w:rPr>
        <w:t>Research on public topics</w:t>
      </w:r>
    </w:p>
    <w:p>
      <w:pPr>
        <w:pStyle w:val="ListBullet"/>
        <w:spacing w:after="60"/>
      </w:pPr>
      <w:r>
        <w:rPr>
          <w:sz w:val="21"/>
        </w:rPr>
        <w:t>Documentation and technical writing assistance</w:t>
      </w:r>
    </w:p>
    <w:p>
      <w:pPr>
        <w:pStyle w:val="Heading2"/>
        <w:spacing w:before="240" w:after="120"/>
      </w:pPr>
      <w:r>
        <w:rPr>
          <w:rFonts w:ascii="Arial" w:hAnsi="Arial"/>
          <w:color w:val="121212"/>
        </w:rPr>
        <w:t>4. Output review and accuracy requirements</w:t>
      </w:r>
    </w:p>
    <w:p>
      <w:pPr>
        <w:spacing w:after="120" w:before="0"/>
      </w:pPr>
      <w:r>
        <w:rPr>
          <w:b w:val="0"/>
          <w:i w:val="0"/>
          <w:sz w:val="21"/>
        </w:rPr>
        <w:t>All AI-generated content used for business purposes must be reviewed by a qualified employee before use. The reviewer is responsible for:</w:t>
      </w:r>
    </w:p>
    <w:p>
      <w:pPr>
        <w:pStyle w:val="ListBullet"/>
        <w:spacing w:after="60"/>
      </w:pPr>
      <w:r>
        <w:rPr>
          <w:sz w:val="21"/>
        </w:rPr>
        <w:t>Verifying factual accuracy against reliable sources</w:t>
      </w:r>
    </w:p>
    <w:p>
      <w:pPr>
        <w:pStyle w:val="ListBullet"/>
        <w:spacing w:after="60"/>
      </w:pPr>
      <w:r>
        <w:rPr>
          <w:sz w:val="21"/>
        </w:rPr>
        <w:t>Ensuring the output aligns with company messaging and policies</w:t>
      </w:r>
    </w:p>
    <w:p>
      <w:pPr>
        <w:pStyle w:val="ListBullet"/>
        <w:spacing w:after="60"/>
      </w:pPr>
      <w:r>
        <w:rPr>
          <w:sz w:val="21"/>
        </w:rPr>
        <w:t>Confirming no confidential information was inadvertently included</w:t>
      </w:r>
    </w:p>
    <w:p>
      <w:pPr>
        <w:pStyle w:val="ListBullet"/>
        <w:spacing w:after="60"/>
      </w:pPr>
      <w:r>
        <w:rPr>
          <w:sz w:val="21"/>
        </w:rPr>
        <w:t>Testing code for security vulnerabilities and correctness</w:t>
      </w:r>
    </w:p>
    <w:p>
      <w:pPr>
        <w:pStyle w:val="ListBullet"/>
        <w:spacing w:after="60"/>
      </w:pPr>
      <w:r>
        <w:rPr>
          <w:sz w:val="21"/>
        </w:rPr>
        <w:t>Making any necessary edits for clarity and tone</w:t>
      </w:r>
    </w:p>
    <w:p>
      <w:pPr>
        <w:pStyle w:val="ListBullet"/>
        <w:spacing w:after="60"/>
      </w:pPr>
      <w:r>
        <w:rPr>
          <w:sz w:val="21"/>
        </w:rPr>
        <w:t>Adding attribution where AI assisted with customer-facing content</w:t>
      </w:r>
    </w:p>
    <w:p>
      <w:pPr>
        <w:spacing w:after="120" w:before="0"/>
      </w:pPr>
      <w:r>
        <w:rPr>
          <w:b w:val="0"/>
          <w:i w:val="0"/>
          <w:sz w:val="21"/>
        </w:rPr>
        <w:t>AI-generated content may not be used in customer communications, contracts, financial documents, or any public-facing material without documented human review and sign-off.</w:t>
      </w:r>
    </w:p>
    <w:p>
      <w:pPr>
        <w:pStyle w:val="Heading2"/>
        <w:spacing w:before="240" w:after="120"/>
      </w:pPr>
      <w:r>
        <w:rPr>
          <w:rFonts w:ascii="Arial" w:hAnsi="Arial"/>
          <w:color w:val="121212"/>
        </w:rPr>
        <w:t>5. Employee responsibilities</w:t>
      </w:r>
    </w:p>
    <w:p>
      <w:pPr>
        <w:spacing w:after="120" w:before="0"/>
      </w:pPr>
      <w:r>
        <w:rPr>
          <w:b w:val="0"/>
          <w:i w:val="0"/>
          <w:sz w:val="21"/>
        </w:rPr>
        <w:t>Every employee using AI tools is responsible for:</w:t>
      </w:r>
    </w:p>
    <w:p>
      <w:pPr>
        <w:pStyle w:val="ListBullet"/>
        <w:spacing w:after="60"/>
      </w:pPr>
      <w:r>
        <w:rPr>
          <w:sz w:val="21"/>
        </w:rPr>
        <w:t>Complying with all data classification rules (never sharing confidential or restricted data)</w:t>
      </w:r>
    </w:p>
    <w:p>
      <w:pPr>
        <w:pStyle w:val="ListBullet"/>
        <w:spacing w:after="60"/>
      </w:pPr>
      <w:r>
        <w:rPr>
          <w:sz w:val="21"/>
        </w:rPr>
        <w:t>Reviewing all AI outputs for accuracy before use</w:t>
      </w:r>
    </w:p>
    <w:p>
      <w:pPr>
        <w:pStyle w:val="ListBullet"/>
        <w:spacing w:after="60"/>
      </w:pPr>
      <w:r>
        <w:rPr>
          <w:sz w:val="21"/>
        </w:rPr>
        <w:t>Being transparent about AI use in deliverables and communications</w:t>
      </w:r>
    </w:p>
    <w:p>
      <w:pPr>
        <w:pStyle w:val="ListBullet"/>
        <w:spacing w:after="60"/>
      </w:pPr>
      <w:r>
        <w:rPr>
          <w:sz w:val="21"/>
        </w:rPr>
        <w:t>Reporting any security incident, data exposure or unexpected behavior to [IT manager / security contact] immediately</w:t>
      </w:r>
    </w:p>
    <w:p>
      <w:pPr>
        <w:pStyle w:val="ListBullet"/>
        <w:spacing w:after="60"/>
      </w:pPr>
      <w:r>
        <w:rPr>
          <w:sz w:val="21"/>
        </w:rPr>
        <w:t>Completing [AI training / compliance training] by [date]</w:t>
      </w:r>
    </w:p>
    <w:p>
      <w:pPr>
        <w:pStyle w:val="ListBullet"/>
        <w:spacing w:after="60"/>
      </w:pPr>
      <w:r>
        <w:rPr>
          <w:sz w:val="21"/>
        </w:rPr>
        <w:t>Asking for clarification when unsure whether a use is allowed</w:t>
      </w:r>
    </w:p>
    <w:p>
      <w:pPr>
        <w:pStyle w:val="Heading2"/>
        <w:spacing w:before="240" w:after="120"/>
      </w:pPr>
      <w:r>
        <w:rPr>
          <w:rFonts w:ascii="Arial" w:hAnsi="Arial"/>
          <w:color w:val="121212"/>
        </w:rPr>
        <w:t>6. Prohibited uses</w:t>
      </w:r>
    </w:p>
    <w:p>
      <w:pPr>
        <w:spacing w:after="120" w:before="0"/>
      </w:pPr>
      <w:r>
        <w:rPr>
          <w:b w:val="0"/>
          <w:i w:val="0"/>
          <w:sz w:val="21"/>
        </w:rPr>
        <w:t>The following uses of AI tools are strictly prohibited:</w:t>
      </w:r>
    </w:p>
    <w:p>
      <w:pPr>
        <w:pStyle w:val="ListBullet"/>
        <w:spacing w:after="60"/>
      </w:pPr>
      <w:r>
        <w:rPr>
          <w:sz w:val="21"/>
        </w:rPr>
        <w:t>Sharing customer personal data, payment information, or protected health information with any external AI tool</w:t>
      </w:r>
    </w:p>
    <w:p>
      <w:pPr>
        <w:pStyle w:val="ListBullet"/>
        <w:spacing w:after="60"/>
      </w:pPr>
      <w:r>
        <w:rPr>
          <w:sz w:val="21"/>
        </w:rPr>
        <w:t>Sharing employee personal data (Social Security numbers, performance reviews, salary information)</w:t>
      </w:r>
    </w:p>
    <w:p>
      <w:pPr>
        <w:pStyle w:val="ListBullet"/>
        <w:spacing w:after="60"/>
      </w:pPr>
      <w:r>
        <w:rPr>
          <w:sz w:val="21"/>
        </w:rPr>
        <w:t>Sharing proprietary code, product specifications, or unreleased product information with external tools</w:t>
      </w:r>
    </w:p>
    <w:p>
      <w:pPr>
        <w:pStyle w:val="ListBullet"/>
        <w:spacing w:after="60"/>
      </w:pPr>
      <w:r>
        <w:rPr>
          <w:sz w:val="21"/>
        </w:rPr>
        <w:t>Using AI to generate misleading, fraudulent, or deceptive content</w:t>
      </w:r>
    </w:p>
    <w:p>
      <w:pPr>
        <w:pStyle w:val="ListBullet"/>
        <w:spacing w:after="60"/>
      </w:pPr>
      <w:r>
        <w:rPr>
          <w:sz w:val="21"/>
        </w:rPr>
        <w:t>Using AI to circumvent security controls or create unauthorized access</w:t>
      </w:r>
    </w:p>
    <w:p>
      <w:pPr>
        <w:pStyle w:val="ListBullet"/>
        <w:spacing w:after="60"/>
      </w:pPr>
      <w:r>
        <w:rPr>
          <w:sz w:val="21"/>
        </w:rPr>
        <w:t>Using AI to make employment decisions (hiring, firing, promotion, discipline) without human review and judgment, or outside the rules in Section 11</w:t>
      </w:r>
    </w:p>
    <w:p>
      <w:pPr>
        <w:pStyle w:val="ListBullet"/>
        <w:spacing w:after="60"/>
      </w:pPr>
      <w:r>
        <w:rPr>
          <w:sz w:val="21"/>
        </w:rPr>
        <w:t>Using AI tools that require violating intellectual property rights or third-party terms of service</w:t>
      </w:r>
    </w:p>
    <w:p>
      <w:pPr>
        <w:pStyle w:val="ListBullet"/>
        <w:spacing w:after="60"/>
      </w:pPr>
      <w:r>
        <w:rPr>
          <w:sz w:val="21"/>
        </w:rPr>
        <w:t>Using AI to generate content that harasses, discriminates against, or demeans employees or customers</w:t>
      </w:r>
    </w:p>
    <w:p>
      <w:pPr>
        <w:pStyle w:val="ListBullet"/>
        <w:spacing w:after="60"/>
      </w:pPr>
      <w:r>
        <w:rPr>
          <w:sz w:val="21"/>
        </w:rPr>
        <w:t>Using any unapproved AI tool for confidential or restricted data</w:t>
      </w:r>
    </w:p>
    <w:p>
      <w:pPr>
        <w:pStyle w:val="Heading2"/>
        <w:spacing w:before="240" w:after="120"/>
      </w:pPr>
      <w:r>
        <w:rPr>
          <w:rFonts w:ascii="Arial" w:hAnsi="Arial"/>
          <w:color w:val="121212"/>
        </w:rPr>
        <w:t>7. Intellectual property and copyright</w:t>
      </w:r>
    </w:p>
    <w:p>
      <w:pPr>
        <w:pStyle w:val="ListBullet"/>
        <w:spacing w:after="60"/>
      </w:pPr>
      <w:r>
        <w:rPr>
          <w:sz w:val="21"/>
        </w:rPr>
        <w:t>AI-generated content may be based on copyrighted material. You are responsible for ensuring compliance with copyright law.</w:t>
      </w:r>
    </w:p>
    <w:p>
      <w:pPr>
        <w:pStyle w:val="ListBullet"/>
        <w:spacing w:after="60"/>
      </w:pPr>
      <w:r>
        <w:rPr>
          <w:sz w:val="21"/>
        </w:rPr>
        <w:t>If you use AI-generated content in customer-facing materials, verify that it is original and does not infringe third-party IP.</w:t>
      </w:r>
    </w:p>
    <w:p>
      <w:pPr>
        <w:pStyle w:val="ListBullet"/>
        <w:spacing w:after="60"/>
      </w:pPr>
      <w:r>
        <w:rPr>
          <w:sz w:val="21"/>
        </w:rPr>
        <w:t>Content generated with AI and used in [Company] work products is considered company property.</w:t>
      </w:r>
    </w:p>
    <w:p>
      <w:pPr>
        <w:pStyle w:val="ListBullet"/>
        <w:spacing w:after="60"/>
      </w:pPr>
      <w:r>
        <w:rPr>
          <w:sz w:val="21"/>
        </w:rPr>
        <w:t>When in doubt about IP implications, consult [legal / management] before using AI-generated content.</w:t>
      </w:r>
    </w:p>
    <w:p>
      <w:pPr>
        <w:pStyle w:val="Heading2"/>
        <w:spacing w:before="240" w:after="120"/>
      </w:pPr>
      <w:r>
        <w:rPr>
          <w:rFonts w:ascii="Arial" w:hAnsi="Arial"/>
          <w:color w:val="121212"/>
        </w:rPr>
        <w:t>8. Incident reporting</w:t>
      </w:r>
    </w:p>
    <w:p>
      <w:pPr>
        <w:spacing w:after="120" w:before="0"/>
      </w:pPr>
      <w:r>
        <w:rPr>
          <w:b w:val="0"/>
          <w:i w:val="0"/>
          <w:sz w:val="21"/>
        </w:rPr>
        <w:t>If you accidentally share confidential data with an AI tool, discover a security issue, or suspect misuse, report it immediately to [IT manager / security contact] by:</w:t>
      </w:r>
    </w:p>
    <w:p>
      <w:pPr>
        <w:pStyle w:val="ListBullet"/>
        <w:spacing w:after="60"/>
      </w:pPr>
      <w:r>
        <w:rPr>
          <w:sz w:val="21"/>
        </w:rPr>
        <w:t>Email: [address]</w:t>
      </w:r>
    </w:p>
    <w:p>
      <w:pPr>
        <w:pStyle w:val="ListBullet"/>
        <w:spacing w:after="60"/>
      </w:pPr>
      <w:r>
        <w:rPr>
          <w:sz w:val="21"/>
        </w:rPr>
        <w:t>Phone: [number]</w:t>
      </w:r>
    </w:p>
    <w:p>
      <w:pPr>
        <w:pStyle w:val="ListBullet"/>
        <w:spacing w:after="60"/>
      </w:pPr>
      <w:r>
        <w:rPr>
          <w:sz w:val="21"/>
        </w:rPr>
        <w:t>In person: [location / person]</w:t>
      </w:r>
    </w:p>
    <w:p>
      <w:pPr>
        <w:spacing w:after="120" w:before="0"/>
      </w:pPr>
      <w:r>
        <w:rPr>
          <w:b w:val="0"/>
          <w:i w:val="0"/>
          <w:sz w:val="21"/>
        </w:rPr>
        <w:t>Provide details about what happened, what data may have been affected, and when you discovered it. Prompt reporting helps us limit harm and improve this policy.</w:t>
      </w:r>
    </w:p>
    <w:p>
      <w:pPr>
        <w:pStyle w:val="Heading2"/>
        <w:spacing w:before="240" w:after="120"/>
      </w:pPr>
      <w:r>
        <w:rPr>
          <w:rFonts w:ascii="Arial" w:hAnsi="Arial"/>
          <w:color w:val="121212"/>
        </w:rPr>
        <w:t>9. Policy updates and review</w:t>
      </w:r>
    </w:p>
    <w:p>
      <w:pPr>
        <w:spacing w:after="120" w:before="0"/>
      </w:pPr>
      <w:r>
        <w:rPr>
          <w:b w:val="0"/>
          <w:i w:val="0"/>
          <w:sz w:val="21"/>
        </w:rPr>
        <w:t>This policy will be reviewed and updated [quarterly / semi-annually / annually] or as needed in response to new tools, risks, or regulations, including any rules adopted by the Illinois Department of Human Rights under the Illinois Human Rights Act. All employees will be notified of updates.</w:t>
      </w:r>
    </w:p>
    <w:p>
      <w:pPr>
        <w:pStyle w:val="Heading2"/>
        <w:spacing w:before="240" w:after="120"/>
      </w:pPr>
      <w:r>
        <w:rPr>
          <w:rFonts w:ascii="Arial" w:hAnsi="Arial"/>
          <w:color w:val="121212"/>
        </w:rPr>
        <w:t>10. Acknowledgment</w:t>
      </w:r>
    </w:p>
    <w:p>
      <w:pPr>
        <w:spacing w:after="120" w:before="0"/>
      </w:pPr>
      <w:r>
        <w:rPr>
          <w:b w:val="0"/>
          <w:i w:val="0"/>
          <w:sz w:val="21"/>
        </w:rPr>
        <w:t>All employees must acknowledge receipt of and agreement with this policy using the form at the end of this document. Acknowledgment will be documented in [HR system / training platform / email].</w:t>
      </w:r>
    </w:p>
    <w:p>
      <w:r>
        <w:br w:type="page"/>
      </w:r>
    </w:p>
    <w:p>
      <w:pPr>
        <w:pStyle w:val="Heading1"/>
        <w:spacing w:before="360" w:after="120"/>
      </w:pPr>
      <w:r>
        <w:rPr>
          <w:rFonts w:ascii="Arial" w:hAnsi="Arial"/>
          <w:color w:val="DA291C"/>
        </w:rPr>
        <w:t>Illinois addendum (Sections 11-16)</w:t>
      </w:r>
    </w:p>
    <w:p>
      <w:pPr>
        <w:spacing w:after="200" w:before="0"/>
      </w:pPr>
      <w:r>
        <w:rPr>
          <w:b w:val="0"/>
          <w:i/>
          <w:color w:val="6B6B6B"/>
          <w:sz w:val="21"/>
        </w:rPr>
        <w:t>Add these sections if you have one or more employees in Illinois. Each starts with the law in plain words (for your reference; delete before distribution if you prefer) followed by the model clause. Model language, not legal advice.</w:t>
      </w:r>
    </w:p>
    <w:p>
      <w:pPr>
        <w:pStyle w:val="Heading2"/>
        <w:spacing w:before="240" w:after="120"/>
      </w:pPr>
      <w:r>
        <w:rPr>
          <w:rFonts w:ascii="Arial" w:hAnsi="Arial"/>
          <w:color w:val="121212"/>
        </w:rPr>
        <w:t>11. AI in employment decisions (Illinois Human Rights Act)</w:t>
      </w:r>
    </w:p>
    <w:p>
      <w:pPr>
        <w:spacing w:after="120" w:before="0"/>
      </w:pPr>
      <w:r>
        <w:rPr>
          <w:b/>
          <w:color w:val="6B6B6B"/>
          <w:sz w:val="20"/>
        </w:rPr>
        <w:t xml:space="preserve">The law in plain words: </w:t>
      </w:r>
      <w:r>
        <w:rPr>
          <w:color w:val="6B6B6B"/>
          <w:sz w:val="20"/>
        </w:rPr>
        <w:t>Since January 1, 2026, the Illinois Human Rights Act (775 ILCS 5/2-102(L), added by HB 3773, Public Act 103-0804) bars employers with one or more Illinois employees from using AI that has the effect of discriminating on the basis of a protected class, bars the use of ZIP codes as a proxy for a protected class, and requires notice to employees when AI is used for recruitment, hiring, promotion, renewal of employment, selection for training or apprenticeship, discharge, discipline, tenure, or the terms, privileges or conditions of employment. The state's implementing rules were proposed in May 2026 and withdrawn in June 2026; there is no official notice form.</w:t>
      </w:r>
    </w:p>
    <w:p>
      <w:pPr>
        <w:spacing w:after="80" w:before="0"/>
      </w:pPr>
      <w:r>
        <w:rPr>
          <w:b/>
          <w:color w:val="DA291C"/>
          <w:sz w:val="21"/>
        </w:rPr>
        <w:t>Model clause</w:t>
      </w:r>
    </w:p>
    <w:p>
      <w:pPr>
        <w:spacing w:after="120" w:before="0"/>
      </w:pPr>
      <w:r>
        <w:rPr>
          <w:b w:val="0"/>
          <w:i w:val="0"/>
          <w:sz w:val="21"/>
        </w:rPr>
        <w:t>[Company] may use AI tools to assist with recruitment, hiring, promotion, renewal of employment, selection for training, discipline, discharge, or the terms and conditions of employment only if: (a) the tool is listed in the company's AI tool inventory maintained by [HR contact]; (b) notice of its use has been given to affected employees and applicants in the form required by the Illinois Human Rights Act, in the handbook, in job postings, on [intranet / website] and on the premises; (c) the tool does not use ZIP codes, home addresses, commute distance or neighborhood as an input, filter or ranking factor; and (d) a named person reviews, and is responsible for, every decision the tool informs, and records the human reason for the decision.</w:t>
      </w:r>
    </w:p>
    <w:p>
      <w:pPr>
        <w:spacing w:after="120" w:before="0"/>
      </w:pPr>
      <w:r>
        <w:rPr>
          <w:b w:val="0"/>
          <w:i w:val="0"/>
          <w:sz w:val="21"/>
        </w:rPr>
        <w:t>Employees and managers may not use personal AI accounts, or any tool not on the inventory, for these purposes, including pasting résumés, applications or employee records into a chatbot to rank or score people. Any employee or applicant who believes an AI tool has treated them unfairly, or who needs a reasonable accommodation in connection with an AI tool, may contact [HR contact] and will not face retaliation. Notices, inventories and related records are kept for at least four years.</w:t>
      </w:r>
    </w:p>
    <w:p>
      <w:pPr>
        <w:pStyle w:val="Heading2"/>
        <w:spacing w:before="240" w:after="120"/>
      </w:pPr>
      <w:r>
        <w:rPr>
          <w:rFonts w:ascii="Arial" w:hAnsi="Arial"/>
          <w:color w:val="121212"/>
        </w:rPr>
        <w:t>12. Biometric and voice data (Illinois Biometric Information Privacy Act)</w:t>
      </w:r>
    </w:p>
    <w:p>
      <w:pPr>
        <w:spacing w:after="120" w:before="0"/>
      </w:pPr>
      <w:r>
        <w:rPr>
          <w:b/>
          <w:color w:val="6B6B6B"/>
          <w:sz w:val="20"/>
        </w:rPr>
        <w:t xml:space="preserve">The law in plain words: </w:t>
      </w:r>
      <w:r>
        <w:rPr>
          <w:color w:val="6B6B6B"/>
          <w:sz w:val="20"/>
        </w:rPr>
        <w:t>BIPA (740 ILCS 14) applies to any private business in Illinois that collects biometric identifiers such as fingerprints, face geometry, retina or iris scans or voiceprints. It requires written notice and a signed written release before collection (an electronic signature counts since the August 2024 amendment), a published retention and destruction schedule, and it bans selling or profiting from the data. AI features that recognize faces or voices are collection.</w:t>
      </w:r>
    </w:p>
    <w:p>
      <w:pPr>
        <w:spacing w:after="80" w:before="0"/>
      </w:pPr>
      <w:r>
        <w:rPr>
          <w:b/>
          <w:color w:val="DA291C"/>
          <w:sz w:val="21"/>
        </w:rPr>
        <w:t>Model clause</w:t>
      </w:r>
    </w:p>
    <w:p>
      <w:pPr>
        <w:spacing w:after="120" w:before="0"/>
      </w:pPr>
      <w:r>
        <w:rPr>
          <w:b w:val="0"/>
          <w:i w:val="0"/>
          <w:sz w:val="21"/>
        </w:rPr>
        <w:t>No AI tool may be used to collect, create or store biometric identifiers or biometric information, including fingerprints, hand or face geometry, retina or iris scans or voiceprints, about employees, applicants, customers or visitors unless [Company] has first: (a) informed the person in writing of what is collected, for what purpose and for how long; (b) obtained a signed written release (an electronic signature is acceptable); (c) published a retention and destruction schedule and configured the tool to follow it; and (d) confirmed in writing that the vendor does not sell, lease, trade or otherwise profit from the data and protects it at least as carefully as we protect other confidential information.</w:t>
      </w:r>
    </w:p>
    <w:p>
      <w:pPr>
        <w:spacing w:after="120" w:before="0"/>
      </w:pPr>
      <w:r>
        <w:rPr>
          <w:b w:val="0"/>
          <w:i w:val="0"/>
          <w:sz w:val="21"/>
        </w:rPr>
        <w:t>Turning on a voice- or face-recognition feature in a tool we already use counts as new collection and requires the same steps first. [Policy owner] keeps the list of approved biometric uses and the signed releases.</w:t>
      </w:r>
    </w:p>
    <w:p>
      <w:pPr>
        <w:pStyle w:val="Heading2"/>
        <w:spacing w:before="240" w:after="120"/>
      </w:pPr>
      <w:r>
        <w:rPr>
          <w:rFonts w:ascii="Arial" w:hAnsi="Arial"/>
          <w:color w:val="121212"/>
        </w:rPr>
        <w:t>13. Recording and transcription consent (and AI in clinical practices)</w:t>
      </w:r>
    </w:p>
    <w:p>
      <w:pPr>
        <w:spacing w:after="120" w:before="0"/>
      </w:pPr>
      <w:r>
        <w:rPr>
          <w:b/>
          <w:color w:val="6B6B6B"/>
          <w:sz w:val="20"/>
        </w:rPr>
        <w:t xml:space="preserve">The law in plain words: </w:t>
      </w:r>
      <w:r>
        <w:rPr>
          <w:color w:val="6B6B6B"/>
          <w:sz w:val="20"/>
        </w:rPr>
        <w:t>Illinois is an all-party-consent state: under 720 ILCS 5/14-2, recording a private conversation, in person or by phone, requires the consent of everyone in it. AI meeting assistants, call recorders and voice agents record. Clinical practices have an additional law: the Wellness and Oversight for Psychological Resources Act (HB 1806, Public Act 104-0054, effective August 1, 2025) prohibits using AI to provide therapy or psychotherapy or to make therapeutic decisions, while allowing licensed professionals to use AI for administrative support and, with the client's informed, written and revocable consent, for supplementary support such as recording or transcribing a session. IDFPR enforces it, with fines of up to $10,000 per violation.</w:t>
      </w:r>
    </w:p>
    <w:p>
      <w:pPr>
        <w:spacing w:after="80" w:before="0"/>
      </w:pPr>
      <w:r>
        <w:rPr>
          <w:b/>
          <w:color w:val="DA291C"/>
          <w:sz w:val="21"/>
        </w:rPr>
        <w:t>Model clause</w:t>
      </w:r>
    </w:p>
    <w:p>
      <w:pPr>
        <w:spacing w:after="120" w:before="0"/>
      </w:pPr>
      <w:r>
        <w:rPr>
          <w:b w:val="0"/>
          <w:i w:val="0"/>
          <w:sz w:val="21"/>
        </w:rPr>
        <w:t>Before any AI tool records, transcribes or summarizes a call, meeting, video session or voicemail, the employee operating it must tell every participant at the start that an AI tool is recording, and obtain their agreement; if anyone declines, the tool is turned off for that conversation. Where [Company] uses an automated voice agent or call recorder, the announcement is built into the greeting. Transcripts and summaries are stored only in [approved system], are shared only with people who attended or need them for their work, and are deleted after [period].</w:t>
      </w:r>
    </w:p>
    <w:p>
      <w:pPr>
        <w:spacing w:after="120" w:before="0"/>
      </w:pPr>
      <w:r>
        <w:rPr>
          <w:b w:val="0"/>
          <w:i w:val="0"/>
          <w:sz w:val="21"/>
        </w:rPr>
        <w:t>[For clinical and behavioral-health practices, add:] AI tools may be used for scheduling, billing, documentation support and other administrative work. They may not communicate with clients about their care, make or recommend treatment decisions, or attempt to detect a client's emotional or mental state. An AI tool may record or transcribe a therapy session only after the client has given informed, written, revocable consent that names the tool and explains how the recording and transcript are used, stored and deleted, and only under the supervision of the licensed clinician responsible for the client.</w:t>
      </w:r>
    </w:p>
    <w:p>
      <w:pPr>
        <w:pStyle w:val="Heading2"/>
        <w:spacing w:before="240" w:after="120"/>
      </w:pPr>
      <w:r>
        <w:rPr>
          <w:rFonts w:ascii="Arial" w:hAnsi="Arial"/>
          <w:color w:val="121212"/>
        </w:rPr>
        <w:t>14. Confidential and client data: what may never go into a public AI tool</w:t>
      </w:r>
    </w:p>
    <w:p>
      <w:pPr>
        <w:spacing w:after="120" w:before="0"/>
      </w:pPr>
      <w:r>
        <w:rPr>
          <w:b/>
          <w:color w:val="6B6B6B"/>
          <w:sz w:val="20"/>
        </w:rPr>
        <w:t xml:space="preserve">The law in plain words: </w:t>
      </w:r>
      <w:r>
        <w:rPr>
          <w:color w:val="6B6B6B"/>
          <w:sz w:val="20"/>
        </w:rPr>
        <w:t>The classification rules in Section 2 ask people to judge sensitivity. Most incidents happen because someone did not think of a specific item as restricted. This list removes the judgment call.</w:t>
      </w:r>
    </w:p>
    <w:p>
      <w:pPr>
        <w:spacing w:after="80" w:before="0"/>
      </w:pPr>
      <w:r>
        <w:rPr>
          <w:b/>
          <w:color w:val="DA291C"/>
          <w:sz w:val="21"/>
        </w:rPr>
        <w:t>Model clause</w:t>
      </w:r>
    </w:p>
    <w:p>
      <w:pPr>
        <w:spacing w:after="120" w:before="0"/>
      </w:pPr>
      <w:r>
        <w:rPr>
          <w:b w:val="0"/>
          <w:i w:val="0"/>
          <w:sz w:val="21"/>
        </w:rPr>
        <w:t>Regardless of how it is classified, the following may never be typed, pasted, uploaded, dictated or shown by screen-share into any AI tool that is not on the approved list with a business agreement that keeps our data out of model training:</w:t>
      </w:r>
    </w:p>
    <w:p>
      <w:pPr>
        <w:pStyle w:val="ListBullet"/>
        <w:spacing w:after="60"/>
      </w:pPr>
      <w:r>
        <w:rPr>
          <w:sz w:val="21"/>
        </w:rPr>
        <w:t>a person's name combined with their Social Security number, date of birth, driver's license or passport number, home address or ZIP code</w:t>
      </w:r>
    </w:p>
    <w:p>
      <w:pPr>
        <w:pStyle w:val="ListBullet"/>
        <w:spacing w:after="60"/>
      </w:pPr>
      <w:r>
        <w:rPr>
          <w:sz w:val="21"/>
        </w:rPr>
        <w:t>health, medical, counseling, disability or insurance information about anyone</w:t>
      </w:r>
    </w:p>
    <w:p>
      <w:pPr>
        <w:pStyle w:val="ListBullet"/>
        <w:spacing w:after="60"/>
      </w:pPr>
      <w:r>
        <w:rPr>
          <w:sz w:val="21"/>
        </w:rPr>
        <w:t>payment card numbers, bank account details, payroll and tax records</w:t>
      </w:r>
    </w:p>
    <w:p>
      <w:pPr>
        <w:pStyle w:val="ListBullet"/>
        <w:spacing w:after="60"/>
      </w:pPr>
      <w:r>
        <w:rPr>
          <w:sz w:val="21"/>
        </w:rPr>
        <w:t>passwords, API keys, access codes and security configurations</w:t>
      </w:r>
    </w:p>
    <w:p>
      <w:pPr>
        <w:pStyle w:val="ListBullet"/>
        <w:spacing w:after="60"/>
      </w:pPr>
      <w:r>
        <w:rPr>
          <w:sz w:val="21"/>
        </w:rPr>
        <w:t>customer, patient, client or student lists and their contact details</w:t>
      </w:r>
    </w:p>
    <w:p>
      <w:pPr>
        <w:pStyle w:val="ListBullet"/>
        <w:spacing w:after="60"/>
      </w:pPr>
      <w:r>
        <w:rPr>
          <w:sz w:val="21"/>
        </w:rPr>
        <w:t>contracts, case files, matters and any document covered by attorney-client privilege or a non-disclosure agreement</w:t>
      </w:r>
    </w:p>
    <w:p>
      <w:pPr>
        <w:pStyle w:val="ListBullet"/>
        <w:spacing w:after="60"/>
      </w:pPr>
      <w:r>
        <w:rPr>
          <w:sz w:val="21"/>
        </w:rPr>
        <w:t>employee performance, discipline, salary, medical or immigration records</w:t>
      </w:r>
    </w:p>
    <w:p>
      <w:pPr>
        <w:pStyle w:val="ListBullet"/>
        <w:spacing w:after="60"/>
      </w:pPr>
      <w:r>
        <w:rPr>
          <w:sz w:val="21"/>
        </w:rPr>
        <w:t>unreleased financial results, pricing, bids, source code and product plans</w:t>
      </w:r>
    </w:p>
    <w:p>
      <w:pPr>
        <w:spacing w:after="120" w:before="0"/>
      </w:pPr>
      <w:r>
        <w:rPr>
          <w:b w:val="0"/>
          <w:i w:val="0"/>
          <w:sz w:val="21"/>
        </w:rPr>
        <w:t>Before using an approved tool on work that touches these categories, remove or replace the identifying details (for example "[Client A]", "[Employee 1]"). When in doubt, ask [contact] first.</w:t>
      </w:r>
    </w:p>
    <w:p>
      <w:pPr>
        <w:pStyle w:val="Heading2"/>
        <w:spacing w:before="240" w:after="120"/>
      </w:pPr>
      <w:r>
        <w:rPr>
          <w:rFonts w:ascii="Arial" w:hAnsi="Arial"/>
          <w:color w:val="121212"/>
        </w:rPr>
        <w:t>15. Vendor and data-residency checks</w:t>
      </w:r>
    </w:p>
    <w:p>
      <w:pPr>
        <w:spacing w:after="120" w:before="0"/>
      </w:pPr>
      <w:r>
        <w:rPr>
          <w:b/>
          <w:color w:val="6B6B6B"/>
          <w:sz w:val="20"/>
        </w:rPr>
        <w:t xml:space="preserve">The law in plain words: </w:t>
      </w:r>
      <w:r>
        <w:rPr>
          <w:color w:val="6B6B6B"/>
          <w:sz w:val="20"/>
        </w:rPr>
        <w:t>Illinois law firms are consistent that the employer, not the vendor, carries the liability under the Human Rights Act and BIPA. The withdrawn Illinois AI notice rules would also have required you to name each tool's developer and vendor and describe what data it processes.</w:t>
      </w:r>
    </w:p>
    <w:p>
      <w:pPr>
        <w:spacing w:after="80" w:before="0"/>
      </w:pPr>
      <w:r>
        <w:rPr>
          <w:b/>
          <w:color w:val="DA291C"/>
          <w:sz w:val="21"/>
        </w:rPr>
        <w:t>Model clause</w:t>
      </w:r>
    </w:p>
    <w:p>
      <w:pPr>
        <w:spacing w:after="120" w:before="0"/>
      </w:pPr>
      <w:r>
        <w:rPr>
          <w:b w:val="0"/>
          <w:i w:val="0"/>
          <w:sz w:val="21"/>
        </w:rPr>
        <w:t>Before an AI tool or an AI feature inside an existing tool is approved, [Policy owner] records written answers to the following and keeps them with the tool inventory:</w:t>
      </w:r>
    </w:p>
    <w:p>
      <w:pPr>
        <w:pStyle w:val="ListNumber"/>
        <w:spacing w:after="60"/>
      </w:pPr>
      <w:r>
        <w:rPr>
          <w:sz w:val="21"/>
        </w:rPr>
        <w:t>Does the vendor train its models on our prompts, files or outputs, and is that turned off under our plan?</w:t>
      </w:r>
    </w:p>
    <w:p>
      <w:pPr>
        <w:pStyle w:val="ListNumber"/>
        <w:spacing w:after="60"/>
      </w:pPr>
      <w:r>
        <w:rPr>
          <w:sz w:val="21"/>
        </w:rPr>
        <w:t>Where is our data stored and processed (country and region), and can we choose a United States region?</w:t>
      </w:r>
    </w:p>
    <w:p>
      <w:pPr>
        <w:pStyle w:val="ListNumber"/>
        <w:spacing w:after="60"/>
      </w:pPr>
      <w:r>
        <w:rPr>
          <w:sz w:val="21"/>
        </w:rPr>
        <w:t>How long are prompts, files and outputs retained, and can we delete them on demand?</w:t>
      </w:r>
    </w:p>
    <w:p>
      <w:pPr>
        <w:pStyle w:val="ListNumber"/>
        <w:spacing w:after="60"/>
      </w:pPr>
      <w:r>
        <w:rPr>
          <w:sz w:val="21"/>
        </w:rPr>
        <w:t>Will the vendor sign a data processing agreement and, where relevant, a HIPAA business associate agreement or a written BIPA data-handling undertaking?</w:t>
      </w:r>
    </w:p>
    <w:p>
      <w:pPr>
        <w:pStyle w:val="ListNumber"/>
        <w:spacing w:after="60"/>
      </w:pPr>
      <w:r>
        <w:rPr>
          <w:sz w:val="21"/>
        </w:rPr>
        <w:t>Does the tool collect or create any biometric identifier, and does the vendor sell or share personal data?</w:t>
      </w:r>
    </w:p>
    <w:p>
      <w:pPr>
        <w:pStyle w:val="ListNumber"/>
        <w:spacing w:after="60"/>
      </w:pPr>
      <w:r>
        <w:rPr>
          <w:sz w:val="21"/>
        </w:rPr>
        <w:t>What independent security assurance can the vendor show (for example a current SOC 2 report)?</w:t>
      </w:r>
    </w:p>
    <w:p>
      <w:pPr>
        <w:pStyle w:val="ListNumber"/>
        <w:spacing w:after="60"/>
      </w:pPr>
      <w:r>
        <w:rPr>
          <w:sz w:val="21"/>
        </w:rPr>
        <w:t>Will the vendor give us a plain-language description of the tool's purpose and the categories of data it processes that we can use in our Illinois employment notice?</w:t>
      </w:r>
    </w:p>
    <w:p>
      <w:pPr>
        <w:pStyle w:val="ListNumber"/>
        <w:spacing w:after="60"/>
      </w:pPr>
      <w:r>
        <w:rPr>
          <w:sz w:val="21"/>
        </w:rPr>
        <w:t>Can we export our data and confirm deletion when we leave?</w:t>
      </w:r>
    </w:p>
    <w:p>
      <w:pPr>
        <w:spacing w:after="120" w:before="0"/>
      </w:pPr>
      <w:r>
        <w:rPr>
          <w:b w:val="0"/>
          <w:i w:val="0"/>
          <w:sz w:val="21"/>
        </w:rPr>
        <w:t>A tool that cannot answer these questions is not approved. Approved tools are re-checked annually and whenever the vendor changes its terms, and the check is dated and filed.</w:t>
      </w:r>
    </w:p>
    <w:p>
      <w:pPr>
        <w:pStyle w:val="Heading2"/>
        <w:spacing w:before="240" w:after="120"/>
      </w:pPr>
      <w:r>
        <w:rPr>
          <w:rFonts w:ascii="Arial" w:hAnsi="Arial"/>
          <w:color w:val="121212"/>
        </w:rPr>
        <w:t>16. Bilingual distribution and acknowledgment</w:t>
      </w:r>
    </w:p>
    <w:p>
      <w:pPr>
        <w:spacing w:after="120" w:before="0"/>
      </w:pPr>
      <w:r>
        <w:rPr>
          <w:b/>
          <w:color w:val="6B6B6B"/>
          <w:sz w:val="20"/>
        </w:rPr>
        <w:t xml:space="preserve">The law in plain words: </w:t>
      </w:r>
      <w:r>
        <w:rPr>
          <w:color w:val="6B6B6B"/>
          <w:sz w:val="20"/>
        </w:rPr>
        <w:t>The withdrawn Illinois AI notice rules would have required notices in the languages commonly spoken by the employer's workforce, and a policy nobody can read is not a policy.</w:t>
      </w:r>
    </w:p>
    <w:p>
      <w:pPr>
        <w:spacing w:after="80" w:before="0"/>
      </w:pPr>
      <w:r>
        <w:rPr>
          <w:b/>
          <w:color w:val="DA291C"/>
          <w:sz w:val="21"/>
        </w:rPr>
        <w:t>Model clause</w:t>
      </w:r>
    </w:p>
    <w:p>
      <w:pPr>
        <w:spacing w:after="120" w:before="0"/>
      </w:pPr>
      <w:r>
        <w:rPr>
          <w:b w:val="0"/>
          <w:i w:val="0"/>
          <w:sz w:val="21"/>
        </w:rPr>
        <w:t>This policy and the Illinois AI employment notice are provided in English and in [Spanish / Polish / other languages commonly spoken by our workforce]. Translations are prepared by [a qualified human translator] and reviewed by a bilingual manager before distribution; machine translation may be used for a first draft but never for the final text. Where versions differ, the [English] version controls. Every employee acknowledges the policy in the language of their choice within [30] days of hire and at each re-issue, and the signed acknowledgments and every version of the policy and notice are kept for at least four years.</w:t>
      </w:r>
    </w:p>
    <w:p>
      <w:r>
        <w:br w:type="page"/>
      </w:r>
    </w:p>
    <w:p>
      <w:pPr>
        <w:pStyle w:val="Heading1"/>
        <w:spacing w:before="360" w:after="120"/>
      </w:pPr>
      <w:r>
        <w:rPr>
          <w:rFonts w:ascii="Arial" w:hAnsi="Arial"/>
          <w:color w:val="DA291C"/>
        </w:rPr>
        <w:t>Employee acknowledgment of the AI Acceptable-Use Policy</w:t>
      </w:r>
    </w:p>
    <w:p>
      <w:pPr>
        <w:spacing w:after="120" w:before="0"/>
      </w:pPr>
      <w:r>
        <w:rPr>
          <w:b w:val="0"/>
          <w:i w:val="0"/>
          <w:sz w:val="21"/>
        </w:rPr>
        <w:t>I acknowledge that I have received and read the [Company] AI Acceptable-Use Policy, version [1.0], dated [date], including the Illinois addendum, in the language of my choice. I understand that:</w:t>
      </w:r>
    </w:p>
    <w:p>
      <w:pPr>
        <w:pStyle w:val="ListBullet"/>
        <w:spacing w:after="60"/>
      </w:pPr>
      <w:r>
        <w:rPr>
          <w:sz w:val="21"/>
        </w:rPr>
        <w:t>I may use only the AI tools approved under Section 1, and only in line with the data rules in Sections 2 and 14.</w:t>
      </w:r>
    </w:p>
    <w:p>
      <w:pPr>
        <w:pStyle w:val="ListBullet"/>
        <w:spacing w:after="60"/>
      </w:pPr>
      <w:r>
        <w:rPr>
          <w:sz w:val="21"/>
        </w:rPr>
        <w:t>I must review AI output before it is used for business purposes (Section 4).</w:t>
      </w:r>
    </w:p>
    <w:p>
      <w:pPr>
        <w:pStyle w:val="ListBullet"/>
        <w:spacing w:after="60"/>
      </w:pPr>
      <w:r>
        <w:rPr>
          <w:sz w:val="21"/>
        </w:rPr>
        <w:t>I may not use AI tools, including personal accounts, to make or influence hiring, promotion, discipline or other employment decisions outside the rules in Section 11.</w:t>
      </w:r>
    </w:p>
    <w:p>
      <w:pPr>
        <w:pStyle w:val="ListBullet"/>
        <w:spacing w:after="60"/>
      </w:pPr>
      <w:r>
        <w:rPr>
          <w:sz w:val="21"/>
        </w:rPr>
        <w:t>I must obtain consent before any AI tool records or transcribes a conversation (Section 13), and must not enable biometric features without the steps in Section 12.</w:t>
      </w:r>
    </w:p>
    <w:p>
      <w:pPr>
        <w:pStyle w:val="ListBullet"/>
        <w:spacing w:after="60"/>
      </w:pPr>
      <w:r>
        <w:rPr>
          <w:sz w:val="21"/>
        </w:rPr>
        <w:t>I must report any accidental disclosure of confidential or restricted data, or any suspected misuse, immediately (Section 8).</w:t>
      </w:r>
    </w:p>
    <w:p>
      <w:pPr>
        <w:pStyle w:val="ListBullet"/>
        <w:spacing w:after="60"/>
      </w:pPr>
      <w:r>
        <w:rPr>
          <w:sz w:val="21"/>
        </w:rPr>
        <w:t>I may ask [contact] whenever I am unsure whether a use is allowed, and I will complete the AI training by [date].</w:t>
      </w:r>
    </w:p>
    <w:p>
      <w:pPr>
        <w:spacing w:after="120" w:before="0"/>
      </w:pPr>
      <w:r>
        <w:rPr>
          <w:b w:val="0"/>
          <w:i w:val="0"/>
          <w:sz w:val="21"/>
        </w:rPr>
        <w:t>I understand that this policy may be updated and that I will be asked to acknowledge updates.</w:t>
      </w:r>
    </w:p>
    <w:p>
      <w:pPr>
        <w:spacing w:after="280" w:before="0"/>
      </w:pPr>
    </w:p>
    <w:tbl>
      <w:tblPr>
        <w:tblW w:type="auto" w:w="0"/>
        <w:tblLook w:firstColumn="1" w:firstRow="1" w:lastColumn="0" w:lastRow="0" w:noHBand="0" w:noVBand="1" w:val="04A0"/>
      </w:tblPr>
      <w:tblGrid>
        <w:gridCol w:w="4680"/>
        <w:gridCol w:w="4680"/>
      </w:tblGrid>
      <w:tr>
        <w:tc>
          <w:tcPr>
            <w:tcW w:type="dxa" w:w="4680"/>
            <w:tcBorders>
              <w:top w:val="single" w:sz="6" w:color="121212"/>
            </w:tcBorders>
          </w:tcPr>
          <w:p>
            <w:pPr>
              <w:spacing w:before="440"/>
            </w:pPr>
            <w:r/>
            <w:r>
              <w:rPr>
                <w:color w:val="6B6B6B"/>
                <w:sz w:val="17"/>
              </w:rPr>
              <w:br/>
              <w:t>Employee name (print)</w:t>
            </w:r>
          </w:p>
        </w:tc>
        <w:tc>
          <w:tcPr>
            <w:tcW w:type="dxa" w:w="4680"/>
            <w:tcBorders>
              <w:top w:val="single" w:sz="6" w:color="121212"/>
            </w:tcBorders>
          </w:tcPr>
          <w:p>
            <w:pPr>
              <w:spacing w:before="440"/>
            </w:pPr>
            <w:r/>
            <w:r>
              <w:rPr>
                <w:color w:val="6B6B6B"/>
                <w:sz w:val="17"/>
              </w:rPr>
              <w:br/>
              <w:t>Job title</w:t>
            </w:r>
          </w:p>
        </w:tc>
      </w:tr>
      <w:tr>
        <w:tc>
          <w:tcPr>
            <w:tcW w:type="dxa" w:w="4680"/>
            <w:tcBorders>
              <w:top w:val="single" w:sz="6" w:color="121212"/>
            </w:tcBorders>
          </w:tcPr>
          <w:p>
            <w:pPr>
              <w:spacing w:before="440"/>
            </w:pPr>
            <w:r/>
            <w:r>
              <w:rPr>
                <w:color w:val="6B6B6B"/>
                <w:sz w:val="17"/>
              </w:rPr>
              <w:br/>
              <w:t>Employee signature</w:t>
            </w:r>
          </w:p>
        </w:tc>
        <w:tc>
          <w:tcPr>
            <w:tcW w:type="dxa" w:w="4680"/>
            <w:tcBorders>
              <w:top w:val="single" w:sz="6" w:color="121212"/>
            </w:tcBorders>
          </w:tcPr>
          <w:p>
            <w:pPr>
              <w:spacing w:before="440"/>
            </w:pPr>
            <w:r/>
            <w:r>
              <w:rPr>
                <w:color w:val="6B6B6B"/>
                <w:sz w:val="17"/>
              </w:rPr>
              <w:br/>
              <w:t>Date</w:t>
            </w:r>
          </w:p>
        </w:tc>
      </w:tr>
      <w:tr>
        <w:tc>
          <w:tcPr>
            <w:tcW w:type="dxa" w:w="4680"/>
            <w:tcBorders>
              <w:top w:val="single" w:sz="6" w:color="121212"/>
            </w:tcBorders>
          </w:tcPr>
          <w:p>
            <w:pPr>
              <w:spacing w:before="440"/>
            </w:pPr>
            <w:r/>
            <w:r>
              <w:rPr>
                <w:color w:val="6B6B6B"/>
                <w:sz w:val="17"/>
              </w:rPr>
              <w:br/>
              <w:t>Language of policy received</w:t>
            </w:r>
          </w:p>
        </w:tc>
        <w:tc>
          <w:tcPr>
            <w:tcW w:type="dxa" w:w="4680"/>
            <w:tcBorders>
              <w:top w:val="single" w:sz="6" w:color="121212"/>
            </w:tcBorders>
          </w:tcPr>
          <w:p>
            <w:pPr>
              <w:spacing w:before="440"/>
            </w:pPr>
            <w:r/>
            <w:r>
              <w:rPr>
                <w:color w:val="6B6B6B"/>
                <w:sz w:val="17"/>
              </w:rPr>
              <w:br/>
              <w:t>Manager / HR witness</w:t>
            </w:r>
          </w:p>
        </w:tc>
      </w:tr>
      <w:tr>
        <w:tc>
          <w:tcPr>
            <w:tcW w:type="dxa" w:w="4680"/>
            <w:tcBorders>
              <w:top w:val="single" w:sz="6" w:color="121212"/>
            </w:tcBorders>
          </w:tcPr>
          <w:p>
            <w:pPr>
              <w:spacing w:before="440"/>
            </w:pPr>
            <w:r/>
            <w:r>
              <w:rPr>
                <w:color w:val="6B6B6B"/>
                <w:sz w:val="17"/>
              </w:rPr>
              <w:br/>
              <w:t>Training completed on</w:t>
            </w:r>
          </w:p>
        </w:tc>
        <w:tc>
          <w:tcPr>
            <w:tcW w:type="dxa" w:w="4680"/>
            <w:tcBorders>
              <w:top w:val="single" w:sz="6" w:color="121212"/>
            </w:tcBorders>
          </w:tcPr>
          <w:p>
            <w:pPr>
              <w:spacing w:before="440"/>
            </w:pPr>
            <w:r/>
            <w:r>
              <w:rPr>
                <w:color w:val="6B6B6B"/>
                <w:sz w:val="17"/>
              </w:rPr>
              <w:br/>
              <w:t>Entered in [HR system] by / date</w:t>
            </w:r>
          </w:p>
        </w:tc>
      </w:tr>
    </w:tbl>
    <w:p>
      <w:pPr>
        <w:spacing w:after="240" w:before="0"/>
      </w:pPr>
    </w:p>
    <w:p>
      <w:pPr>
        <w:spacing w:after="120" w:before="0"/>
      </w:pPr>
      <w:r>
        <w:rPr>
          <w:b w:val="0"/>
          <w:i/>
          <w:color w:val="6B6B6B"/>
          <w:sz w:val="18"/>
        </w:rPr>
        <w:t>Keep this form, with the version of the policy it refers to, for at least four years. In Illinois, keep it until any related charge is resolved.</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B6B6B"/>
        <w:sz w:val="16"/>
      </w:rPr>
      <w:t>312 IT Consulting · 312itconsulting.com · (224) 382-4084 · AI Acceptable-Use Policy Template, Illinois edition · November 2026 · Model language,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Acceptable-Use Policy Template, Illinois edition</dc:title>
  <dc:subject>Model AI acceptable-use policy for small businesses with Illinois employees</dc:subject>
  <dc:creator>312 IT Consulting</dc:creator>
  <cp:keywords>AI policy, acceptable use, Illinois, HB 3773, BIPA, template</cp:keywords>
  <dc:description>generated by python-docx</dc:description>
  <cp:lastModifiedBy/>
  <cp:revision>1</cp:revision>
  <dcterms:created xsi:type="dcterms:W3CDTF">2026-11-04T00:00:00Z</dcterms:created>
  <dcterms:modified xsi:type="dcterms:W3CDTF">2013-12-23T23:15:00Z</dcterms:modified>
  <cp:category/>
</cp:coreProperties>
</file>